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C1252" w14:textId="77777777" w:rsidR="005A03A2" w:rsidRPr="005A03A2" w:rsidRDefault="005A03A2" w:rsidP="005A03A2">
      <w:pPr>
        <w:pStyle w:val="NormalWeb"/>
        <w:rPr>
          <w:rFonts w:ascii="Calibri" w:hAnsi="Calibri" w:cs="Calibri"/>
          <w:sz w:val="40"/>
          <w:szCs w:val="40"/>
        </w:rPr>
      </w:pPr>
      <w:r w:rsidRPr="005A03A2">
        <w:rPr>
          <w:rStyle w:val="Strong"/>
          <w:rFonts w:ascii="Calibri" w:eastAsiaTheme="majorEastAsia" w:hAnsi="Calibri" w:cs="Calibri"/>
          <w:sz w:val="40"/>
          <w:szCs w:val="40"/>
        </w:rPr>
        <w:t>VOLAXI</w:t>
      </w:r>
      <w:r w:rsidRPr="005A03A2">
        <w:rPr>
          <w:rFonts w:ascii="Calibri" w:hAnsi="Calibri" w:cs="Calibri"/>
          <w:sz w:val="40"/>
          <w:szCs w:val="40"/>
        </w:rPr>
        <w:t xml:space="preserve"> </w:t>
      </w:r>
    </w:p>
    <w:p w14:paraId="1C14B3F2" w14:textId="437F5F69" w:rsidR="005A03A2" w:rsidRPr="005A03A2" w:rsidRDefault="005A03A2" w:rsidP="005A03A2">
      <w:pPr>
        <w:pStyle w:val="NormalWeb"/>
        <w:rPr>
          <w:rFonts w:ascii="Calibri" w:hAnsi="Calibri" w:cs="Calibri"/>
        </w:rPr>
      </w:pPr>
      <w:r w:rsidRPr="005A03A2">
        <w:rPr>
          <w:rFonts w:ascii="Calibri" w:hAnsi="Calibri" w:cs="Calibri"/>
        </w:rPr>
        <w:t>Financial Analysis &amp; Transaction Support</w:t>
      </w:r>
    </w:p>
    <w:p w14:paraId="61480F3F" w14:textId="77777777" w:rsidR="005A03A2" w:rsidRPr="005A03A2" w:rsidRDefault="005A03A2" w:rsidP="005A03A2">
      <w:pPr>
        <w:pStyle w:val="NormalWeb"/>
        <w:rPr>
          <w:rFonts w:ascii="Calibri" w:hAnsi="Calibri" w:cs="Calibri"/>
        </w:rPr>
      </w:pPr>
      <w:r w:rsidRPr="005A03A2">
        <w:rPr>
          <w:rFonts w:ascii="Calibri" w:hAnsi="Calibri" w:cs="Calibri"/>
        </w:rPr>
        <w:t>Institutional-quality financial modelling, business valuation and financial due diligence support for boutique investment banks and transaction advisory firms.</w:t>
      </w:r>
    </w:p>
    <w:p w14:paraId="573F6677"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Point of View</w:t>
      </w:r>
      <w:r w:rsidRPr="005A03A2">
        <w:rPr>
          <w:rFonts w:ascii="Calibri" w:hAnsi="Calibri" w:cs="Calibri"/>
        </w:rPr>
        <w:t xml:space="preserve"> </w:t>
      </w:r>
    </w:p>
    <w:p w14:paraId="247DD6E7" w14:textId="7156104A" w:rsidR="005A03A2" w:rsidRPr="005A03A2" w:rsidRDefault="005A03A2" w:rsidP="005A03A2">
      <w:pPr>
        <w:pStyle w:val="NormalWeb"/>
        <w:rPr>
          <w:rFonts w:ascii="Calibri" w:hAnsi="Calibri" w:cs="Calibri"/>
        </w:rPr>
      </w:pPr>
      <w:r w:rsidRPr="005A03A2">
        <w:rPr>
          <w:rFonts w:ascii="Calibri" w:hAnsi="Calibri" w:cs="Calibri"/>
        </w:rPr>
        <w:t>We believe financial analysis should do more than satisfy a process</w:t>
      </w:r>
      <w:r>
        <w:rPr>
          <w:rFonts w:ascii="Calibri" w:hAnsi="Calibri" w:cs="Calibri"/>
        </w:rPr>
        <w:t>.</w:t>
      </w:r>
      <w:r w:rsidRPr="005A03A2">
        <w:rPr>
          <w:rFonts w:ascii="Calibri" w:hAnsi="Calibri" w:cs="Calibri"/>
        </w:rPr>
        <w:t xml:space="preserve"> </w:t>
      </w:r>
      <w:r>
        <w:rPr>
          <w:rFonts w:ascii="Calibri" w:hAnsi="Calibri" w:cs="Calibri"/>
        </w:rPr>
        <w:t>I</w:t>
      </w:r>
      <w:r w:rsidRPr="005A03A2">
        <w:rPr>
          <w:rFonts w:ascii="Calibri" w:hAnsi="Calibri" w:cs="Calibri"/>
        </w:rPr>
        <w:t>t should improve the quality of decisions.</w:t>
      </w:r>
    </w:p>
    <w:p w14:paraId="0AAA2ECB" w14:textId="71133BB0" w:rsidR="005A03A2" w:rsidRPr="005A03A2" w:rsidRDefault="005A03A2" w:rsidP="005A03A2">
      <w:pPr>
        <w:pStyle w:val="NormalWeb"/>
        <w:rPr>
          <w:rFonts w:ascii="Calibri" w:hAnsi="Calibri" w:cs="Calibri"/>
        </w:rPr>
      </w:pPr>
      <w:r w:rsidRPr="005A03A2">
        <w:rPr>
          <w:rFonts w:ascii="Calibri" w:hAnsi="Calibri" w:cs="Calibri"/>
        </w:rPr>
        <w:t>Our role is to produce analytical work that is technically rigorous, commercially relevant</w:t>
      </w:r>
      <w:r>
        <w:rPr>
          <w:rFonts w:ascii="Calibri" w:hAnsi="Calibri" w:cs="Calibri"/>
        </w:rPr>
        <w:t xml:space="preserve"> </w:t>
      </w:r>
      <w:r w:rsidRPr="005A03A2">
        <w:rPr>
          <w:rFonts w:ascii="Calibri" w:hAnsi="Calibri" w:cs="Calibri"/>
        </w:rPr>
        <w:t>and immediately usable by advisory teams working under live transaction conditions. Every model, valuation and due diligence workstream is prepared with the discipline of institutional investment research and the practicality required for transaction execution.</w:t>
      </w:r>
    </w:p>
    <w:p w14:paraId="6B473897"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About</w:t>
      </w:r>
      <w:r w:rsidRPr="005A03A2">
        <w:rPr>
          <w:rFonts w:ascii="Calibri" w:hAnsi="Calibri" w:cs="Calibri"/>
        </w:rPr>
        <w:t xml:space="preserve"> </w:t>
      </w:r>
    </w:p>
    <w:p w14:paraId="3DD1D12D" w14:textId="364AB67A" w:rsidR="005A03A2" w:rsidRPr="005A03A2" w:rsidRDefault="005A03A2" w:rsidP="005A03A2">
      <w:pPr>
        <w:pStyle w:val="NormalWeb"/>
        <w:rPr>
          <w:rFonts w:ascii="Calibri" w:hAnsi="Calibri" w:cs="Calibri"/>
        </w:rPr>
      </w:pPr>
      <w:r w:rsidRPr="005A03A2">
        <w:rPr>
          <w:rFonts w:ascii="Calibri" w:hAnsi="Calibri" w:cs="Calibri"/>
        </w:rPr>
        <w:t>We help boutique investment banks, transaction advisory firms and corporate finance advisors deliver high-quality financial analysis for live transactions through specialist financial modelling, business valuation and financial due diligence support.</w:t>
      </w:r>
    </w:p>
    <w:p w14:paraId="3552845D" w14:textId="0B038A6B" w:rsidR="005A03A2" w:rsidRPr="005A03A2" w:rsidRDefault="005A03A2" w:rsidP="005A03A2">
      <w:pPr>
        <w:pStyle w:val="NormalWeb"/>
        <w:rPr>
          <w:rFonts w:ascii="Calibri" w:hAnsi="Calibri" w:cs="Calibri"/>
        </w:rPr>
      </w:pPr>
      <w:r w:rsidRPr="005A03A2">
        <w:rPr>
          <w:rFonts w:ascii="Calibri" w:hAnsi="Calibri" w:cs="Calibri"/>
        </w:rPr>
        <w:t>Our work integrates directly into client engagements, enabling advisory teams to expand analytical capacity, meet demanding timelines and deliver decision</w:t>
      </w:r>
      <w:r>
        <w:rPr>
          <w:rFonts w:ascii="Calibri" w:hAnsi="Calibri" w:cs="Calibri"/>
        </w:rPr>
        <w:t xml:space="preserve"> </w:t>
      </w:r>
      <w:r w:rsidRPr="005A03A2">
        <w:rPr>
          <w:rFonts w:ascii="Calibri" w:hAnsi="Calibri" w:cs="Calibri"/>
        </w:rPr>
        <w:t>ready financial analysis without compromising quality.</w:t>
      </w:r>
    </w:p>
    <w:p w14:paraId="39ACB588" w14:textId="77777777" w:rsidR="005A03A2" w:rsidRPr="005A03A2" w:rsidRDefault="005A03A2" w:rsidP="005A03A2">
      <w:pPr>
        <w:pStyle w:val="NormalWeb"/>
        <w:rPr>
          <w:rFonts w:ascii="Calibri" w:hAnsi="Calibri" w:cs="Calibri"/>
        </w:rPr>
      </w:pPr>
      <w:r w:rsidRPr="005A03A2">
        <w:rPr>
          <w:rStyle w:val="Strong"/>
          <w:rFonts w:ascii="Calibri" w:eastAsiaTheme="majorEastAsia" w:hAnsi="Calibri" w:cs="Calibri"/>
        </w:rPr>
        <w:t>Core Engagements</w:t>
      </w:r>
    </w:p>
    <w:p w14:paraId="22C1A0CB"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 xml:space="preserve">Evaluate </w:t>
      </w:r>
      <w:r>
        <w:rPr>
          <w:rStyle w:val="Strong"/>
          <w:rFonts w:ascii="Calibri" w:eastAsiaTheme="majorEastAsia" w:hAnsi="Calibri" w:cs="Calibri"/>
        </w:rPr>
        <w:t>-</w:t>
      </w:r>
      <w:r w:rsidRPr="005A03A2">
        <w:rPr>
          <w:rStyle w:val="Strong"/>
          <w:rFonts w:ascii="Calibri" w:eastAsiaTheme="majorEastAsia" w:hAnsi="Calibri" w:cs="Calibri"/>
        </w:rPr>
        <w:t xml:space="preserve"> Financial Modelling</w:t>
      </w:r>
      <w:r w:rsidRPr="005A03A2">
        <w:rPr>
          <w:rFonts w:ascii="Calibri" w:hAnsi="Calibri" w:cs="Calibri"/>
        </w:rPr>
        <w:t xml:space="preserve"> </w:t>
      </w:r>
    </w:p>
    <w:p w14:paraId="31BD02C4" w14:textId="1963BFCB" w:rsidR="005A03A2" w:rsidRPr="005A03A2" w:rsidRDefault="005A03A2" w:rsidP="005A03A2">
      <w:pPr>
        <w:pStyle w:val="NormalWeb"/>
        <w:rPr>
          <w:rFonts w:ascii="Calibri" w:hAnsi="Calibri" w:cs="Calibri"/>
        </w:rPr>
      </w:pPr>
      <w:r w:rsidRPr="005A03A2">
        <w:rPr>
          <w:rFonts w:ascii="Calibri" w:hAnsi="Calibri" w:cs="Calibri"/>
        </w:rPr>
        <w:t>Integrated three-statement models with historical analysis, forecast assumptions, scenario &amp; sensitivity analysis, supporting schedules and model documentation.</w:t>
      </w:r>
    </w:p>
    <w:p w14:paraId="27AEACA8"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 xml:space="preserve">Value </w:t>
      </w:r>
      <w:r>
        <w:rPr>
          <w:rStyle w:val="Strong"/>
          <w:rFonts w:ascii="Calibri" w:eastAsiaTheme="majorEastAsia" w:hAnsi="Calibri" w:cs="Calibri"/>
        </w:rPr>
        <w:t>-</w:t>
      </w:r>
      <w:r w:rsidRPr="005A03A2">
        <w:rPr>
          <w:rStyle w:val="Strong"/>
          <w:rFonts w:ascii="Calibri" w:eastAsiaTheme="majorEastAsia" w:hAnsi="Calibri" w:cs="Calibri"/>
        </w:rPr>
        <w:t xml:space="preserve"> Business Valuation</w:t>
      </w:r>
      <w:r w:rsidRPr="005A03A2">
        <w:rPr>
          <w:rFonts w:ascii="Calibri" w:hAnsi="Calibri" w:cs="Calibri"/>
        </w:rPr>
        <w:t xml:space="preserve"> </w:t>
      </w:r>
    </w:p>
    <w:p w14:paraId="3B1FE34F" w14:textId="744C2184" w:rsidR="005A03A2" w:rsidRPr="005A03A2" w:rsidRDefault="005A03A2" w:rsidP="005A03A2">
      <w:pPr>
        <w:pStyle w:val="NormalWeb"/>
        <w:rPr>
          <w:rFonts w:ascii="Calibri" w:hAnsi="Calibri" w:cs="Calibri"/>
        </w:rPr>
      </w:pPr>
      <w:r w:rsidRPr="005A03A2">
        <w:rPr>
          <w:rFonts w:ascii="Calibri" w:hAnsi="Calibri" w:cs="Calibri"/>
        </w:rPr>
        <w:t>DCF, trading comps, transaction comps, valuation summary and key assumptions. Frequently delivered together with Financial Modelling.</w:t>
      </w:r>
    </w:p>
    <w:p w14:paraId="4A1B20BD"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 xml:space="preserve">Validate </w:t>
      </w:r>
      <w:r>
        <w:rPr>
          <w:rStyle w:val="Strong"/>
          <w:rFonts w:ascii="Calibri" w:eastAsiaTheme="majorEastAsia" w:hAnsi="Calibri" w:cs="Calibri"/>
        </w:rPr>
        <w:t>-</w:t>
      </w:r>
      <w:r w:rsidRPr="005A03A2">
        <w:rPr>
          <w:rStyle w:val="Strong"/>
          <w:rFonts w:ascii="Calibri" w:eastAsiaTheme="majorEastAsia" w:hAnsi="Calibri" w:cs="Calibri"/>
        </w:rPr>
        <w:t xml:space="preserve"> Financial Due Diligence Support</w:t>
      </w:r>
      <w:r w:rsidRPr="005A03A2">
        <w:rPr>
          <w:rFonts w:ascii="Calibri" w:hAnsi="Calibri" w:cs="Calibri"/>
        </w:rPr>
        <w:t xml:space="preserve"> </w:t>
      </w:r>
    </w:p>
    <w:p w14:paraId="516019D3" w14:textId="078A40C4" w:rsidR="005A03A2" w:rsidRPr="005A03A2" w:rsidRDefault="005A03A2" w:rsidP="005A03A2">
      <w:pPr>
        <w:pStyle w:val="NormalWeb"/>
        <w:rPr>
          <w:rFonts w:ascii="Calibri" w:hAnsi="Calibri" w:cs="Calibri"/>
        </w:rPr>
      </w:pPr>
      <w:r w:rsidRPr="005A03A2">
        <w:rPr>
          <w:rFonts w:ascii="Calibri" w:hAnsi="Calibri" w:cs="Calibri"/>
        </w:rPr>
        <w:t>Earnings quality analysis, working capital and cash conversion analysis, margin analysis, financial trends, key observations and red flags with supporting schedules. Analytical support only</w:t>
      </w:r>
      <w:r>
        <w:rPr>
          <w:rFonts w:ascii="Calibri" w:hAnsi="Calibri" w:cs="Calibri"/>
        </w:rPr>
        <w:t>,</w:t>
      </w:r>
      <w:r w:rsidRPr="005A03A2">
        <w:rPr>
          <w:rFonts w:ascii="Calibri" w:hAnsi="Calibri" w:cs="Calibri"/>
        </w:rPr>
        <w:t xml:space="preserve"> not an independent assurance opinion.</w:t>
      </w:r>
    </w:p>
    <w:p w14:paraId="6ECBA278" w14:textId="77777777" w:rsidR="005A03A2" w:rsidRPr="005A03A2" w:rsidRDefault="005A03A2" w:rsidP="005A03A2">
      <w:pPr>
        <w:pStyle w:val="NormalWeb"/>
        <w:rPr>
          <w:rFonts w:ascii="Calibri" w:hAnsi="Calibri" w:cs="Calibri"/>
        </w:rPr>
      </w:pPr>
      <w:r w:rsidRPr="005A03A2">
        <w:rPr>
          <w:rStyle w:val="Strong"/>
          <w:rFonts w:ascii="Calibri" w:eastAsiaTheme="majorEastAsia" w:hAnsi="Calibri" w:cs="Calibri"/>
        </w:rPr>
        <w:t>Our Approach</w:t>
      </w:r>
    </w:p>
    <w:p w14:paraId="2C975004"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lastRenderedPageBreak/>
        <w:t>Institutional Thinking</w:t>
      </w:r>
      <w:r w:rsidRPr="005A03A2">
        <w:rPr>
          <w:rFonts w:ascii="Calibri" w:hAnsi="Calibri" w:cs="Calibri"/>
        </w:rPr>
        <w:t xml:space="preserve"> </w:t>
      </w:r>
    </w:p>
    <w:p w14:paraId="1524C83D" w14:textId="0DC3D38C" w:rsidR="005A03A2" w:rsidRPr="005A03A2" w:rsidRDefault="005A03A2" w:rsidP="005A03A2">
      <w:pPr>
        <w:pStyle w:val="NormalWeb"/>
        <w:rPr>
          <w:rFonts w:ascii="Calibri" w:hAnsi="Calibri" w:cs="Calibri"/>
        </w:rPr>
      </w:pPr>
      <w:r w:rsidRPr="005A03A2">
        <w:rPr>
          <w:rFonts w:ascii="Calibri" w:hAnsi="Calibri" w:cs="Calibri"/>
        </w:rPr>
        <w:t>We apply the analytical discipline of institutional investment research, with emphasis on accounting quality, cash flow analysis and commercially relevant conclusions.</w:t>
      </w:r>
    </w:p>
    <w:p w14:paraId="5649AD29"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Transaction Focus</w:t>
      </w:r>
      <w:r w:rsidRPr="005A03A2">
        <w:rPr>
          <w:rFonts w:ascii="Calibri" w:hAnsi="Calibri" w:cs="Calibri"/>
        </w:rPr>
        <w:t xml:space="preserve"> </w:t>
      </w:r>
    </w:p>
    <w:p w14:paraId="3F227C31" w14:textId="43E57F19" w:rsidR="005A03A2" w:rsidRPr="005A03A2" w:rsidRDefault="005A03A2" w:rsidP="005A03A2">
      <w:pPr>
        <w:pStyle w:val="NormalWeb"/>
        <w:rPr>
          <w:rFonts w:ascii="Calibri" w:hAnsi="Calibri" w:cs="Calibri"/>
        </w:rPr>
      </w:pPr>
      <w:r w:rsidRPr="005A03A2">
        <w:rPr>
          <w:rFonts w:ascii="Calibri" w:hAnsi="Calibri" w:cs="Calibri"/>
        </w:rPr>
        <w:t>Every engagement is designed to integrate seamlessly into live transaction workflows and demanding execution timelines.</w:t>
      </w:r>
    </w:p>
    <w:p w14:paraId="7A5AD8B5"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Decision-Ready Output</w:t>
      </w:r>
      <w:r w:rsidRPr="005A03A2">
        <w:rPr>
          <w:rFonts w:ascii="Calibri" w:hAnsi="Calibri" w:cs="Calibri"/>
        </w:rPr>
        <w:t xml:space="preserve"> </w:t>
      </w:r>
    </w:p>
    <w:p w14:paraId="290327D6" w14:textId="6384D7E2" w:rsidR="005A03A2" w:rsidRPr="005A03A2" w:rsidRDefault="005A03A2" w:rsidP="005A03A2">
      <w:pPr>
        <w:pStyle w:val="NormalWeb"/>
        <w:rPr>
          <w:rFonts w:ascii="Calibri" w:hAnsi="Calibri" w:cs="Calibri"/>
        </w:rPr>
      </w:pPr>
      <w:r w:rsidRPr="005A03A2">
        <w:rPr>
          <w:rFonts w:ascii="Calibri" w:hAnsi="Calibri" w:cs="Calibri"/>
        </w:rPr>
        <w:t>Deliverables are prepared to institutional standards and structured for immediate use in client discussions and transaction processes.</w:t>
      </w:r>
    </w:p>
    <w:p w14:paraId="36DCF2C1" w14:textId="77777777" w:rsidR="005A03A2" w:rsidRDefault="005A03A2" w:rsidP="005A03A2">
      <w:pPr>
        <w:pStyle w:val="NormalWeb"/>
        <w:rPr>
          <w:rFonts w:ascii="Calibri" w:hAnsi="Calibri" w:cs="Calibri"/>
        </w:rPr>
      </w:pPr>
      <w:r w:rsidRPr="005A03A2">
        <w:rPr>
          <w:rStyle w:val="Strong"/>
          <w:rFonts w:ascii="Calibri" w:eastAsiaTheme="majorEastAsia" w:hAnsi="Calibri" w:cs="Calibri"/>
        </w:rPr>
        <w:t>Contact</w:t>
      </w:r>
      <w:r w:rsidRPr="005A03A2">
        <w:rPr>
          <w:rFonts w:ascii="Calibri" w:hAnsi="Calibri" w:cs="Calibri"/>
        </w:rPr>
        <w:t xml:space="preserve"> </w:t>
      </w:r>
    </w:p>
    <w:p w14:paraId="6294EB94" w14:textId="77777777" w:rsidR="005A03A2" w:rsidRDefault="005A03A2" w:rsidP="005A03A2">
      <w:pPr>
        <w:pStyle w:val="NormalWeb"/>
        <w:spacing w:before="0" w:beforeAutospacing="0" w:after="0" w:afterAutospacing="0"/>
        <w:rPr>
          <w:rFonts w:ascii="Calibri" w:hAnsi="Calibri" w:cs="Calibri"/>
        </w:rPr>
      </w:pPr>
      <w:r>
        <w:rPr>
          <w:rFonts w:ascii="Calibri" w:hAnsi="Calibri" w:cs="Calibri"/>
        </w:rPr>
        <w:t xml:space="preserve">CA </w:t>
      </w:r>
      <w:r w:rsidRPr="005A03A2">
        <w:rPr>
          <w:rFonts w:ascii="Calibri" w:hAnsi="Calibri" w:cs="Calibri"/>
        </w:rPr>
        <w:t>Pranay Bhansali</w:t>
      </w:r>
    </w:p>
    <w:p w14:paraId="791C13E1" w14:textId="50DD0B7E" w:rsidR="005A03A2" w:rsidRPr="005A03A2" w:rsidRDefault="005A03A2" w:rsidP="005A03A2">
      <w:pPr>
        <w:pStyle w:val="NormalWeb"/>
        <w:spacing w:before="0" w:beforeAutospacing="0" w:after="0" w:afterAutospacing="0"/>
        <w:rPr>
          <w:rFonts w:ascii="Calibri" w:hAnsi="Calibri" w:cs="Calibri"/>
        </w:rPr>
      </w:pPr>
      <w:r w:rsidRPr="005A03A2">
        <w:rPr>
          <w:rFonts w:ascii="Calibri" w:hAnsi="Calibri" w:cs="Calibri"/>
        </w:rPr>
        <w:t>Principal</w:t>
      </w:r>
    </w:p>
    <w:p w14:paraId="0EA41003" w14:textId="4467EBD8" w:rsidR="005A03A2" w:rsidRDefault="005A03A2" w:rsidP="005A03A2">
      <w:pPr>
        <w:pStyle w:val="NormalWeb"/>
        <w:spacing w:before="0" w:beforeAutospacing="0" w:after="0" w:afterAutospacing="0"/>
        <w:rPr>
          <w:rFonts w:ascii="Calibri" w:hAnsi="Calibri" w:cs="Calibri"/>
        </w:rPr>
      </w:pPr>
      <w:r w:rsidRPr="005A03A2">
        <w:rPr>
          <w:rFonts w:ascii="Calibri" w:hAnsi="Calibri" w:cs="Calibri"/>
        </w:rPr>
        <w:t xml:space="preserve">Email: </w:t>
      </w:r>
      <w:r w:rsidRPr="005A03A2">
        <w:rPr>
          <w:rFonts w:ascii="Calibri" w:eastAsiaTheme="majorEastAsia" w:hAnsi="Calibri" w:cs="Calibri"/>
        </w:rPr>
        <w:t>pranay1396@gmail.com</w:t>
      </w:r>
      <w:r w:rsidRPr="005A03A2">
        <w:rPr>
          <w:rFonts w:ascii="Calibri" w:hAnsi="Calibri" w:cs="Calibri"/>
        </w:rPr>
        <w:t xml:space="preserve"> </w:t>
      </w:r>
    </w:p>
    <w:p w14:paraId="736FB05A" w14:textId="77777777" w:rsidR="005A03A2" w:rsidRDefault="005A03A2" w:rsidP="005A03A2">
      <w:pPr>
        <w:pStyle w:val="NormalWeb"/>
        <w:spacing w:before="0" w:beforeAutospacing="0" w:after="0" w:afterAutospacing="0"/>
        <w:rPr>
          <w:rFonts w:ascii="Calibri" w:hAnsi="Calibri" w:cs="Calibri"/>
        </w:rPr>
      </w:pPr>
      <w:r w:rsidRPr="005A03A2">
        <w:rPr>
          <w:rFonts w:ascii="Calibri" w:hAnsi="Calibri" w:cs="Calibri"/>
        </w:rPr>
        <w:t xml:space="preserve">Phone: +91 85533 50927 </w:t>
      </w:r>
    </w:p>
    <w:p w14:paraId="4533A875" w14:textId="470705A0" w:rsidR="005A03A2" w:rsidRPr="005A03A2" w:rsidRDefault="005A03A2" w:rsidP="005A03A2">
      <w:pPr>
        <w:pStyle w:val="NormalWeb"/>
        <w:spacing w:before="0" w:beforeAutospacing="0" w:after="0" w:afterAutospacing="0"/>
        <w:rPr>
          <w:rFonts w:ascii="Calibri" w:hAnsi="Calibri" w:cs="Calibri"/>
        </w:rPr>
      </w:pPr>
      <w:r w:rsidRPr="005A03A2">
        <w:rPr>
          <w:rFonts w:ascii="Calibri" w:hAnsi="Calibri" w:cs="Calibri"/>
        </w:rPr>
        <w:t>LinkedIn: linkedin.com/in/ca-pranay-bhansali-474635201</w:t>
      </w:r>
    </w:p>
    <w:p w14:paraId="664AE4F5" w14:textId="77777777" w:rsidR="007A7821" w:rsidRPr="005A03A2" w:rsidRDefault="007A7821" w:rsidP="005A03A2">
      <w:pPr>
        <w:rPr>
          <w:rFonts w:ascii="Calibri" w:hAnsi="Calibri" w:cs="Calibri"/>
        </w:rPr>
      </w:pPr>
    </w:p>
    <w:sectPr w:rsidR="007A7821" w:rsidRPr="005A03A2" w:rsidSect="00546F3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BE"/>
    <w:rsid w:val="000A2334"/>
    <w:rsid w:val="004132BE"/>
    <w:rsid w:val="00546F31"/>
    <w:rsid w:val="005A03A2"/>
    <w:rsid w:val="007A7821"/>
    <w:rsid w:val="00B14B70"/>
    <w:rsid w:val="00E45C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E7B6350"/>
  <w15:chartTrackingRefBased/>
  <w15:docId w15:val="{2C93AE4C-5C4B-9E49-8347-4F733272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2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2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2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2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2BE"/>
    <w:rPr>
      <w:rFonts w:eastAsiaTheme="majorEastAsia" w:cstheme="majorBidi"/>
      <w:color w:val="272727" w:themeColor="text1" w:themeTint="D8"/>
    </w:rPr>
  </w:style>
  <w:style w:type="paragraph" w:styleId="Title">
    <w:name w:val="Title"/>
    <w:basedOn w:val="Normal"/>
    <w:next w:val="Normal"/>
    <w:link w:val="TitleChar"/>
    <w:uiPriority w:val="10"/>
    <w:qFormat/>
    <w:rsid w:val="004132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2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2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32BE"/>
    <w:rPr>
      <w:i/>
      <w:iCs/>
      <w:color w:val="404040" w:themeColor="text1" w:themeTint="BF"/>
    </w:rPr>
  </w:style>
  <w:style w:type="paragraph" w:styleId="ListParagraph">
    <w:name w:val="List Paragraph"/>
    <w:basedOn w:val="Normal"/>
    <w:uiPriority w:val="34"/>
    <w:qFormat/>
    <w:rsid w:val="004132BE"/>
    <w:pPr>
      <w:ind w:left="720"/>
      <w:contextualSpacing/>
    </w:pPr>
  </w:style>
  <w:style w:type="character" w:styleId="IntenseEmphasis">
    <w:name w:val="Intense Emphasis"/>
    <w:basedOn w:val="DefaultParagraphFont"/>
    <w:uiPriority w:val="21"/>
    <w:qFormat/>
    <w:rsid w:val="004132BE"/>
    <w:rPr>
      <w:i/>
      <w:iCs/>
      <w:color w:val="0F4761" w:themeColor="accent1" w:themeShade="BF"/>
    </w:rPr>
  </w:style>
  <w:style w:type="paragraph" w:styleId="IntenseQuote">
    <w:name w:val="Intense Quote"/>
    <w:basedOn w:val="Normal"/>
    <w:next w:val="Normal"/>
    <w:link w:val="IntenseQuoteChar"/>
    <w:uiPriority w:val="30"/>
    <w:qFormat/>
    <w:rsid w:val="00413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2BE"/>
    <w:rPr>
      <w:i/>
      <w:iCs/>
      <w:color w:val="0F4761" w:themeColor="accent1" w:themeShade="BF"/>
    </w:rPr>
  </w:style>
  <w:style w:type="character" w:styleId="IntenseReference">
    <w:name w:val="Intense Reference"/>
    <w:basedOn w:val="DefaultParagraphFont"/>
    <w:uiPriority w:val="32"/>
    <w:qFormat/>
    <w:rsid w:val="004132BE"/>
    <w:rPr>
      <w:b/>
      <w:bCs/>
      <w:smallCaps/>
      <w:color w:val="0F4761" w:themeColor="accent1" w:themeShade="BF"/>
      <w:spacing w:val="5"/>
    </w:rPr>
  </w:style>
  <w:style w:type="paragraph" w:styleId="NormalWeb">
    <w:name w:val="Normal (Web)"/>
    <w:basedOn w:val="Normal"/>
    <w:uiPriority w:val="99"/>
    <w:semiHidden/>
    <w:unhideWhenUsed/>
    <w:rsid w:val="004132B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132BE"/>
    <w:rPr>
      <w:b/>
      <w:bCs/>
    </w:rPr>
  </w:style>
  <w:style w:type="character" w:styleId="Hyperlink">
    <w:name w:val="Hyperlink"/>
    <w:basedOn w:val="DefaultParagraphFont"/>
    <w:uiPriority w:val="99"/>
    <w:unhideWhenUsed/>
    <w:rsid w:val="005A03A2"/>
    <w:rPr>
      <w:color w:val="467886" w:themeColor="hyperlink"/>
      <w:u w:val="single"/>
    </w:rPr>
  </w:style>
  <w:style w:type="character" w:styleId="UnresolvedMention">
    <w:name w:val="Unresolved Mention"/>
    <w:basedOn w:val="DefaultParagraphFont"/>
    <w:uiPriority w:val="99"/>
    <w:semiHidden/>
    <w:unhideWhenUsed/>
    <w:rsid w:val="005A0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763165">
      <w:bodyDiv w:val="1"/>
      <w:marLeft w:val="0"/>
      <w:marRight w:val="0"/>
      <w:marTop w:val="0"/>
      <w:marBottom w:val="0"/>
      <w:divBdr>
        <w:top w:val="none" w:sz="0" w:space="0" w:color="auto"/>
        <w:left w:val="none" w:sz="0" w:space="0" w:color="auto"/>
        <w:bottom w:val="none" w:sz="0" w:space="0" w:color="auto"/>
        <w:right w:val="none" w:sz="0" w:space="0" w:color="auto"/>
      </w:divBdr>
    </w:div>
    <w:div w:id="1217008067">
      <w:bodyDiv w:val="1"/>
      <w:marLeft w:val="0"/>
      <w:marRight w:val="0"/>
      <w:marTop w:val="0"/>
      <w:marBottom w:val="0"/>
      <w:divBdr>
        <w:top w:val="none" w:sz="0" w:space="0" w:color="auto"/>
        <w:left w:val="none" w:sz="0" w:space="0" w:color="auto"/>
        <w:bottom w:val="none" w:sz="0" w:space="0" w:color="auto"/>
        <w:right w:val="none" w:sz="0" w:space="0" w:color="auto"/>
      </w:divBdr>
    </w:div>
    <w:div w:id="1285235304">
      <w:bodyDiv w:val="1"/>
      <w:marLeft w:val="0"/>
      <w:marRight w:val="0"/>
      <w:marTop w:val="0"/>
      <w:marBottom w:val="0"/>
      <w:divBdr>
        <w:top w:val="none" w:sz="0" w:space="0" w:color="auto"/>
        <w:left w:val="none" w:sz="0" w:space="0" w:color="auto"/>
        <w:bottom w:val="none" w:sz="0" w:space="0" w:color="auto"/>
        <w:right w:val="none" w:sz="0" w:space="0" w:color="auto"/>
      </w:divBdr>
    </w:div>
    <w:div w:id="158931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Pranay Pranay</dc:creator>
  <cp:keywords/>
  <dc:description/>
  <cp:lastModifiedBy>Pranay Pranay</cp:lastModifiedBy>
  <cp:revision>2</cp:revision>
  <dcterms:created xsi:type="dcterms:W3CDTF">2026-07-31T04:45:00Z</dcterms:created>
  <dcterms:modified xsi:type="dcterms:W3CDTF">2026-08-01T04:48:00Z</dcterms:modified>
</cp:coreProperties>
</file>